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7066D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Черновка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7B5013">
        <w:rPr>
          <w:sz w:val="28"/>
          <w:szCs w:val="28"/>
        </w:rPr>
        <w:t>22</w:t>
      </w:r>
      <w:r w:rsidRPr="00881580">
        <w:rPr>
          <w:sz w:val="28"/>
          <w:szCs w:val="28"/>
        </w:rPr>
        <w:t>»</w:t>
      </w:r>
      <w:r w:rsidR="00E30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5013">
        <w:rPr>
          <w:sz w:val="28"/>
          <w:szCs w:val="28"/>
        </w:rPr>
        <w:t xml:space="preserve">  12      </w:t>
      </w:r>
      <w:r w:rsidRPr="00434250">
        <w:rPr>
          <w:sz w:val="28"/>
          <w:szCs w:val="28"/>
        </w:rPr>
        <w:t xml:space="preserve"> 20</w:t>
      </w:r>
      <w:r w:rsidR="00E30964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733FD9">
        <w:rPr>
          <w:sz w:val="28"/>
          <w:szCs w:val="28"/>
        </w:rPr>
        <w:t>57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363A6" w:rsidP="0072093C">
      <w:pPr>
        <w:spacing w:line="276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09171F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497FC9" w:rsidRDefault="0009171F" w:rsidP="00497FC9">
      <w:pPr>
        <w:ind w:right="3543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FC9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  применения  нормативных правовых  актов  муниципального  образования  о</w:t>
      </w:r>
    </w:p>
    <w:p w:rsidR="00497FC9" w:rsidRDefault="00497FC9" w:rsidP="00497FC9">
      <w:pPr>
        <w:ind w:right="354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местных  налогах  и  сборах »</w:t>
      </w:r>
    </w:p>
    <w:p w:rsidR="00B116B5" w:rsidRDefault="00B116B5" w:rsidP="0009171F">
      <w:pPr>
        <w:spacing w:line="276" w:lineRule="auto"/>
        <w:jc w:val="both"/>
        <w:rPr>
          <w:sz w:val="28"/>
          <w:szCs w:val="28"/>
        </w:rPr>
      </w:pPr>
    </w:p>
    <w:p w:rsidR="00607D89" w:rsidRDefault="00607D89" w:rsidP="00B363A6">
      <w:pPr>
        <w:keepNext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соответствии с Федеральным законом №210-ФЗ от 27.07.2010 г. «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>  </w:t>
      </w:r>
    </w:p>
    <w:p w:rsidR="00607D89" w:rsidRDefault="00607D89" w:rsidP="00B363A6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организации   предоставления  государственных  и  муниципальных  услуг»,  №131 – ФЗ «Общих принципах организации местного самоуправления в Российской Федерации»,  </w:t>
      </w:r>
      <w:proofErr w:type="gramStart"/>
      <w:r>
        <w:rPr>
          <w:color w:val="000000"/>
          <w:sz w:val="28"/>
          <w:szCs w:val="28"/>
        </w:rPr>
        <w:t>руководствуясь Уставом сельского поселения Черновка муниципального района</w:t>
      </w:r>
      <w:proofErr w:type="gramEnd"/>
      <w:r>
        <w:rPr>
          <w:color w:val="000000"/>
          <w:sz w:val="28"/>
          <w:szCs w:val="28"/>
        </w:rPr>
        <w:t xml:space="preserve"> Сергиевский Самарской области, Администрация сельского поселения Черновка  муниципального района Сергиевский Самарской области</w:t>
      </w:r>
    </w:p>
    <w:p w:rsidR="00607D89" w:rsidRDefault="00607D89" w:rsidP="00B363A6">
      <w:pPr>
        <w:ind w:firstLine="720"/>
        <w:jc w:val="both"/>
        <w:rPr>
          <w:sz w:val="28"/>
          <w:szCs w:val="28"/>
        </w:rPr>
      </w:pPr>
    </w:p>
    <w:p w:rsidR="00607D89" w:rsidRDefault="00607D89" w:rsidP="00B3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07D89" w:rsidRDefault="00607D89" w:rsidP="00B363A6">
      <w:pPr>
        <w:pStyle w:val="ab"/>
        <w:numPr>
          <w:ilvl w:val="0"/>
          <w:numId w:val="12"/>
        </w:numPr>
        <w:shd w:val="clear" w:color="auto" w:fill="FFFFFF"/>
        <w:ind w:left="0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 Административный  регламент  по  предоставлению  муниципальной  услуги «Дача  письменных  разъяснений  налогоплательщикам по  вопросам  применения  нормативных  правовых  актов  муниципального  </w:t>
      </w:r>
    </w:p>
    <w:p w:rsidR="00607D89" w:rsidRDefault="00607D89" w:rsidP="00B363A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  о  местных  налогах  и  сборах», согласно приложению.</w:t>
      </w:r>
    </w:p>
    <w:p w:rsidR="00607D89" w:rsidRDefault="00607D89" w:rsidP="00B363A6">
      <w:pPr>
        <w:autoSpaceDE w:val="0"/>
        <w:autoSpaceDN w:val="0"/>
        <w:adjustRightInd w:val="0"/>
        <w:ind w:right="-1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Постановление в газете «Сергиевский вестник».</w:t>
      </w:r>
    </w:p>
    <w:p w:rsidR="00607D89" w:rsidRDefault="00607D89" w:rsidP="00B363A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:rsidR="00607D89" w:rsidRDefault="00607D89" w:rsidP="00B36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07D89" w:rsidRDefault="00607D89" w:rsidP="00B363A6">
      <w:pPr>
        <w:jc w:val="both"/>
        <w:rPr>
          <w:sz w:val="28"/>
          <w:szCs w:val="28"/>
        </w:rPr>
      </w:pPr>
    </w:p>
    <w:p w:rsidR="00607D89" w:rsidRDefault="00607D89" w:rsidP="00607D89">
      <w:pPr>
        <w:rPr>
          <w:sz w:val="28"/>
          <w:szCs w:val="28"/>
        </w:rPr>
      </w:pPr>
    </w:p>
    <w:p w:rsidR="00607D89" w:rsidRDefault="00607D89" w:rsidP="00607D89">
      <w:pPr>
        <w:rPr>
          <w:sz w:val="28"/>
          <w:szCs w:val="28"/>
        </w:rPr>
      </w:pPr>
    </w:p>
    <w:p w:rsidR="00607D89" w:rsidRDefault="00607D89" w:rsidP="00607D8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Черновка</w:t>
      </w:r>
    </w:p>
    <w:p w:rsidR="00607D89" w:rsidRDefault="00607D89" w:rsidP="00607D8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r w:rsidR="00733F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 w:rsidR="00733FD9">
        <w:rPr>
          <w:sz w:val="28"/>
          <w:szCs w:val="28"/>
        </w:rPr>
        <w:t>К.Л.</w:t>
      </w:r>
      <w:r>
        <w:rPr>
          <w:sz w:val="28"/>
          <w:szCs w:val="28"/>
        </w:rPr>
        <w:t>Григорьев</w:t>
      </w:r>
      <w:proofErr w:type="spellEnd"/>
    </w:p>
    <w:p w:rsidR="00607D89" w:rsidRDefault="00607D89" w:rsidP="00607D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07D89" w:rsidRDefault="00607D89" w:rsidP="00607D8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07D89" w:rsidRDefault="00607D89" w:rsidP="00607D8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07D89" w:rsidRDefault="00607D89" w:rsidP="00607D8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07D89" w:rsidRDefault="00607D89" w:rsidP="00607D8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07D89" w:rsidRDefault="00607D89" w:rsidP="00607D8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607D89" w:rsidRDefault="00607D89" w:rsidP="00607D8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607D89" w:rsidRDefault="00607D89" w:rsidP="00607D8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607D89" w:rsidRDefault="00607D89" w:rsidP="00607D8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Черновка</w:t>
      </w:r>
    </w:p>
    <w:p w:rsidR="00607D89" w:rsidRDefault="00607D89" w:rsidP="00607D8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Сергиевский</w:t>
      </w:r>
    </w:p>
    <w:p w:rsidR="00607D89" w:rsidRDefault="00607D89" w:rsidP="00607D8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33FD9">
        <w:rPr>
          <w:color w:val="000000"/>
          <w:sz w:val="28"/>
          <w:szCs w:val="28"/>
        </w:rPr>
        <w:t>22.12.2020г</w:t>
      </w:r>
      <w:r>
        <w:rPr>
          <w:color w:val="000000"/>
          <w:sz w:val="28"/>
          <w:szCs w:val="28"/>
        </w:rPr>
        <w:t xml:space="preserve"> № </w:t>
      </w:r>
      <w:r w:rsidR="00733FD9">
        <w:rPr>
          <w:color w:val="000000"/>
          <w:sz w:val="28"/>
          <w:szCs w:val="28"/>
        </w:rPr>
        <w:t>57</w:t>
      </w:r>
    </w:p>
    <w:p w:rsidR="00607D89" w:rsidRDefault="00607D89" w:rsidP="00607D8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 по предоставлению муниципальной услуги</w:t>
      </w:r>
    </w:p>
    <w:p w:rsidR="00607D89" w:rsidRDefault="00607D89" w:rsidP="00607D89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»</w:t>
      </w:r>
    </w:p>
    <w:p w:rsidR="00607D89" w:rsidRDefault="00607D89" w:rsidP="00607D89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РАЗДЕЛ  I.</w:t>
      </w:r>
    </w:p>
    <w:p w:rsidR="00607D89" w:rsidRDefault="00607D89" w:rsidP="00607D89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1.1. Административный регламент по предоставлению муниципальной услуги по даче  письменных  разъяснений  налогоплательщикам по вопросам применения нормативных  правовых  актов  муниципального  образования  о  местных  налогах  и  сборах  на территории сельского  поселения  Черновка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607D89" w:rsidRDefault="00607D89" w:rsidP="00607D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Муниципальная услуга предоставляется Администрацией  сельского поселения Черновка муниципального района Сергиевский.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1.3. Конечным результатом предоставления услуги является: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        2) письменный отказ в предоставлении муниципальной услуги.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1.4.  Муниципальная услуга реализуется по заявлению физических и юридических лиц (далее — заявитель).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1.5.  Предоставление муниципальной услуги осуществляется на бесплатной основе.</w:t>
      </w:r>
    </w:p>
    <w:p w:rsidR="00607D89" w:rsidRDefault="00607D89" w:rsidP="00607D89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РАЗДЕЛ II.</w:t>
      </w:r>
    </w:p>
    <w:p w:rsidR="00607D89" w:rsidRDefault="00607D89" w:rsidP="00607D89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СТАНДАРТ ПРЕДОСТАВЛЕНИЯ УСЛУГИ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           2. Порядок информирования о правилах предоставления муниципальной услуги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Информирование о правилах предоставления муниципальной услуги осуществляют Администрация сельского поселения Черновка (далее - Администрация), </w:t>
      </w:r>
      <w:r>
        <w:rPr>
          <w:color w:val="000000"/>
          <w:sz w:val="28"/>
          <w:szCs w:val="28"/>
          <w:shd w:val="clear" w:color="auto" w:fill="FFFFFF"/>
        </w:rPr>
        <w:lastRenderedPageBreak/>
        <w:t>муниципальное бюджетное учреждение муниципального района Сергиевский «Многофункциональный центр предоставления государственных и муниципальных услуг» (далее - МБУ «МФЦ»).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- на официальном интернет-сайте органов местного самоуправления сельского поселения Черновка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- на Едином портале государственных и муниципальных услуг (функций) (далее – Единый портал),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- на Портале государственных и муниципальных услуг Самарской области (далее – Портал);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-на портале «Сеть многофункциональных центров предоставления </w:t>
      </w:r>
      <w:r>
        <w:rPr>
          <w:color w:val="000000"/>
          <w:spacing w:val="-4"/>
          <w:sz w:val="28"/>
          <w:szCs w:val="28"/>
        </w:rPr>
        <w:t>государственных и муниципальных услуг»;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- на информационных стендах в помещении приема заявлений в уполномоченном органе;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индивидуальное консультирование лично;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индивидуальное консультирование по почте (по электронной почте);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индивидуальное консультирование по телефону;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публичное письменное информирование;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публичное устное информирование.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       2.3. Индивидуальное консультирование лично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          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2.4. Индивидуальное консультирование по почте (по электронной почте).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>
        <w:rPr>
          <w:color w:val="000000"/>
          <w:sz w:val="28"/>
          <w:szCs w:val="28"/>
        </w:rPr>
        <w:t>срок</w:t>
      </w:r>
      <w:proofErr w:type="gramEnd"/>
      <w:r>
        <w:rPr>
          <w:color w:val="000000"/>
          <w:sz w:val="28"/>
          <w:szCs w:val="28"/>
        </w:rPr>
        <w:t xml:space="preserve"> не превышающий 10 рабочих дней со дня регистрации обращения.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2.5. Индивидуальное консультирование по телефону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Звонки заявителей принимаются в соответствии с графиком работы должностных лиц, ответственных за предоставление муниципальной услуги. Ответ </w:t>
      </w:r>
      <w:r>
        <w:rPr>
          <w:color w:val="000000"/>
          <w:sz w:val="28"/>
          <w:szCs w:val="28"/>
        </w:rPr>
        <w:lastRenderedPageBreak/>
        <w:t>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             Время разговора не должно превышать 10 минут.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607D89" w:rsidRDefault="00607D89" w:rsidP="00607D89">
      <w:pPr>
        <w:shd w:val="clear" w:color="auto" w:fill="FFFFFF"/>
        <w:ind w:firstLine="426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2.6. Публичное письменное информирование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Черновка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2.7. Публичное устное информирование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07D89" w:rsidRDefault="00607D89" w:rsidP="00607D89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- </w:t>
      </w:r>
      <w:r>
        <w:rPr>
          <w:color w:val="333333"/>
          <w:sz w:val="28"/>
          <w:szCs w:val="28"/>
        </w:rPr>
        <w:t xml:space="preserve">извлечения из текста настоящего Административного регламента и приложения к нему; </w:t>
      </w:r>
    </w:p>
    <w:p w:rsidR="00607D89" w:rsidRDefault="00607D89" w:rsidP="00607D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формы документов для заполнения, образцы заполнения документов;                   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- перечень оснований для отказа в предоставлении муниципальной услуги;                     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2.10. На официальном сайте органов местного самоуправления сельского поселения Черновка в сети Интернет: http://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sergievsk</w:t>
      </w:r>
      <w:r>
        <w:rPr>
          <w:color w:val="000000"/>
          <w:sz w:val="28"/>
          <w:szCs w:val="28"/>
        </w:rPr>
        <w:t>.ru размещаются следующие информационные материалы: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полное наименование и полный почтовый адрес Администрации сельского поселения Черновка;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адрес электронной почты Администрации сельского поселения Черновка;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полный текст настоящего Административного регламента с приложениями к нему;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информационные материалы, содержащиеся на стендах в местах предоставления муниципальной услуги.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-полный текст Административного регламента с приложениями к нему;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перечень документов предоставляемых заявителем и требования, предъявляемые к этим документам;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образец заполнения;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полное наименование и полный почтовый адрес Администрации сельского поселения Черновка;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адрес электронной почты Администрации сельского поселения Черновка;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РАЗДЕЛ  III.</w:t>
      </w:r>
    </w:p>
    <w:p w:rsidR="00607D89" w:rsidRDefault="00607D89" w:rsidP="00607D89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АДМИНИСТРАТИВНЫЕ ПРОЦЕДУРЫ</w:t>
      </w:r>
    </w:p>
    <w:p w:rsidR="00607D89" w:rsidRDefault="00607D89" w:rsidP="00607D89">
      <w:pPr>
        <w:shd w:val="clear" w:color="auto" w:fill="FFFFFF"/>
        <w:spacing w:after="100" w:afterAutospacing="1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заявления и прилагаемых к нему документов;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2) проверка представленных документов;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DA16A9">
        <w:rPr>
          <w:color w:val="000000"/>
          <w:sz w:val="28"/>
          <w:szCs w:val="28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607D89" w:rsidRDefault="00607D89" w:rsidP="00607D89">
      <w:pPr>
        <w:shd w:val="clear" w:color="auto" w:fill="FFFFFF"/>
        <w:spacing w:after="100" w:afterAutospacing="1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3.2. Прием заявления и прилагаемых к нему документов.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3.2.2.  Заявление может быть подано в Администрацию.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3.2.4. Заявление с прилагаемыми документами  принимаются   специалистом Администрации.</w:t>
      </w:r>
    </w:p>
    <w:p w:rsidR="00607D89" w:rsidRDefault="00607D89" w:rsidP="00607D89">
      <w:pPr>
        <w:shd w:val="clear" w:color="auto" w:fill="FFFFFF"/>
        <w:spacing w:after="100" w:afterAutospacing="1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3.3. Проверка представленных документов и подготовка проекта.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3.3.1.Проверку представленных документов</w:t>
      </w:r>
      <w:r w:rsidR="00DA1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  специалист  администрации.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3.3.2. В случае установления комплектности представленных документов уполномоченное лицо администрации  сельского   поселения Черновка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607D89" w:rsidRDefault="00607D89" w:rsidP="00607D89">
      <w:pPr>
        <w:shd w:val="clear" w:color="auto" w:fill="FFFFFF"/>
        <w:spacing w:after="100" w:afterAutospacing="1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Основаниями для отказа   являются: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- случаи отсутствия документов, установленных настоящим Регламентом;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- нарушение оформления представляемых документов;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Самарской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607D89" w:rsidRDefault="00607D89" w:rsidP="00607D89">
      <w:pPr>
        <w:shd w:val="clear" w:color="auto" w:fill="FFFFFF"/>
        <w:spacing w:after="100" w:afterAutospacing="1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DA16A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исьменно</w:t>
      </w:r>
      <w:r w:rsidR="00DA16A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разъяснени</w:t>
      </w:r>
      <w:r w:rsidR="00DA16A9">
        <w:rPr>
          <w:color w:val="000000"/>
          <w:sz w:val="28"/>
          <w:szCs w:val="28"/>
        </w:rPr>
        <w:t>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Черновка.</w:t>
      </w:r>
    </w:p>
    <w:p w:rsidR="00607D89" w:rsidRDefault="00607D89" w:rsidP="00607D89">
      <w:pPr>
        <w:shd w:val="clear" w:color="auto" w:fill="FFFFFF"/>
        <w:spacing w:after="100" w:afterAutospacing="1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>
        <w:rPr>
          <w:b/>
          <w:bCs/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Раздел IV.</w:t>
      </w:r>
    </w:p>
    <w:p w:rsidR="00607D89" w:rsidRDefault="00607D89" w:rsidP="00607D89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Формы контроля</w:t>
      </w:r>
    </w:p>
    <w:p w:rsidR="00607D89" w:rsidRDefault="00607D89" w:rsidP="00607D89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за исполнением административного регламента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rPr>
          <w:color w:val="000000"/>
          <w:sz w:val="28"/>
          <w:szCs w:val="28"/>
        </w:rPr>
        <w:t>входит оказание муниципальной услуги   несут</w:t>
      </w:r>
      <w:proofErr w:type="gramEnd"/>
      <w:r>
        <w:rPr>
          <w:color w:val="000000"/>
          <w:sz w:val="28"/>
          <w:szCs w:val="28"/>
        </w:rPr>
        <w:t xml:space="preserve"> ответственность в соответствии с действующим законодательством.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 4.2.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  4.3.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</w:t>
      </w:r>
      <w:r>
        <w:rPr>
          <w:color w:val="000000"/>
          <w:sz w:val="28"/>
          <w:szCs w:val="28"/>
        </w:rPr>
        <w:lastRenderedPageBreak/>
        <w:t>действия (бездействие) ответственных лиц Администрации, в чьи обязанности входит оказание муниципальной услуги.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</w:p>
    <w:p w:rsidR="00607D89" w:rsidRDefault="00607D89" w:rsidP="00607D89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Сергиевский или должностному лицу, уполномоченному нормативным правовым актом субъекта Российской Федерации.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5.3. Заявитель может обратиться с жалобой в следующих случаях: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color w:val="000000"/>
          <w:sz w:val="28"/>
          <w:szCs w:val="28"/>
          <w:shd w:val="clear" w:color="auto" w:fill="FFFFFF"/>
        </w:rPr>
        <w:lastRenderedPageBreak/>
        <w:t>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Черновка,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Жалоба должна содержать: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5.7.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</w:t>
      </w:r>
      <w:r>
        <w:rPr>
          <w:color w:val="000000"/>
          <w:sz w:val="28"/>
          <w:szCs w:val="28"/>
          <w:shd w:val="clear" w:color="auto" w:fill="FFFFFF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Самарской области, муниципальными правовыми актами, а также в иных формах;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решение об отказе в удовлетворении жалобы.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Заявителю направляется письменный ответ, содержащий результаты рассмотрения жалобы.</w:t>
      </w:r>
    </w:p>
    <w:p w:rsidR="00607D89" w:rsidRDefault="00607D89" w:rsidP="00607D89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</w:p>
    <w:p w:rsidR="00607D89" w:rsidRDefault="00607D89" w:rsidP="00607D89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607D89" w:rsidRDefault="00607D89" w:rsidP="00607D89">
      <w:pPr>
        <w:shd w:val="clear" w:color="auto" w:fill="FFFFFF"/>
        <w:spacing w:after="100" w:afterAutospacing="1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Приложение 1</w:t>
      </w:r>
    </w:p>
    <w:p w:rsidR="00607D89" w:rsidRDefault="00607D89" w:rsidP="00607D89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к Административному регламенту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 заявления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В администрацию  сельского поселения Черновка</w:t>
      </w:r>
    </w:p>
    <w:p w:rsidR="00607D89" w:rsidRDefault="00607D89" w:rsidP="00607D89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от __________________________________________</w:t>
      </w:r>
    </w:p>
    <w:p w:rsidR="00607D89" w:rsidRDefault="00607D89" w:rsidP="00607D89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(ФИО физического лица)</w:t>
      </w:r>
    </w:p>
    <w:p w:rsidR="00607D89" w:rsidRDefault="00607D89" w:rsidP="00607D89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607D89" w:rsidRDefault="00607D89" w:rsidP="00607D89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(ФИО руководителя организации)</w:t>
      </w:r>
    </w:p>
    <w:p w:rsidR="00607D89" w:rsidRDefault="00607D89" w:rsidP="00607D89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607D89" w:rsidRDefault="00607D89" w:rsidP="00607D89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(адрес)</w:t>
      </w:r>
    </w:p>
    <w:p w:rsidR="00607D89" w:rsidRDefault="00607D89" w:rsidP="00607D89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607D89" w:rsidRDefault="00607D89" w:rsidP="00607D89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(контактный телефон)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607D89" w:rsidRDefault="00607D89" w:rsidP="00607D89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07D89" w:rsidRDefault="00607D89" w:rsidP="00607D89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07D89" w:rsidRDefault="00607D89" w:rsidP="00607D89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Прошу дать разъяснение по вопросу________________________________________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A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Заявитель: _______________________________________________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(Ф.И.О., должность представителя (подпись)</w:t>
      </w:r>
      <w:proofErr w:type="gramEnd"/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юридического лица; Ф.И.О. гражданина)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«__»__________ 20____ г. М.П.</w:t>
      </w:r>
    </w:p>
    <w:p w:rsidR="00607D89" w:rsidRDefault="00607D89" w:rsidP="00607D89">
      <w:pPr>
        <w:shd w:val="clear" w:color="auto" w:fill="FFFFFF"/>
        <w:spacing w:after="100" w:afterAutospacing="1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jc w:val="right"/>
        <w:rPr>
          <w:color w:val="000000"/>
          <w:sz w:val="28"/>
          <w:szCs w:val="28"/>
        </w:rPr>
      </w:pPr>
    </w:p>
    <w:p w:rsidR="00607D89" w:rsidRDefault="00607D89" w:rsidP="00607D89">
      <w:pPr>
        <w:shd w:val="clear" w:color="auto" w:fill="FFFFFF"/>
        <w:spacing w:after="100" w:afterAutospacing="1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607D89" w:rsidRDefault="00607D89" w:rsidP="00607D89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к Административному регламенту</w:t>
      </w:r>
    </w:p>
    <w:p w:rsidR="00607D89" w:rsidRDefault="00607D89" w:rsidP="00607D89">
      <w:pPr>
        <w:shd w:val="clear" w:color="auto" w:fill="FFFFFF"/>
        <w:spacing w:after="100" w:afterAutospacing="1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607D89" w:rsidRDefault="00607D89" w:rsidP="00607D89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документов, необходимых для предоставления  муниципальной  услуги</w:t>
      </w:r>
    </w:p>
    <w:p w:rsidR="00607D89" w:rsidRDefault="00607D89" w:rsidP="00607D89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-  предъявляется документ, удостоверяющий личность физического лица (его представителя),</w:t>
      </w:r>
    </w:p>
    <w:p w:rsidR="00607D89" w:rsidRDefault="00607D89" w:rsidP="00607D8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607D89" w:rsidRDefault="00607D89" w:rsidP="00607D89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07D89" w:rsidRDefault="00607D89" w:rsidP="00607D8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116B5" w:rsidRDefault="00B116B5" w:rsidP="00607D89">
      <w:pPr>
        <w:ind w:left="585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09171F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09171F">
        <w:rPr>
          <w:sz w:val="24"/>
          <w:szCs w:val="24"/>
        </w:rPr>
        <w:t xml:space="preserve"> </w:t>
      </w:r>
    </w:p>
    <w:sectPr w:rsidR="00B116B5" w:rsidRPr="0090091E" w:rsidSect="006379B8">
      <w:headerReference w:type="default" r:id="rId8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BC" w:rsidRDefault="001628BC">
      <w:r>
        <w:separator/>
      </w:r>
    </w:p>
  </w:endnote>
  <w:endnote w:type="continuationSeparator" w:id="0">
    <w:p w:rsidR="001628BC" w:rsidRDefault="0016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BC" w:rsidRDefault="001628BC">
      <w:r>
        <w:separator/>
      </w:r>
    </w:p>
  </w:footnote>
  <w:footnote w:type="continuationSeparator" w:id="0">
    <w:p w:rsidR="001628BC" w:rsidRDefault="0016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5" w:rsidRDefault="00396400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6A9">
      <w:rPr>
        <w:rStyle w:val="a5"/>
        <w:noProof/>
      </w:rPr>
      <w:t>7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9171F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628BC"/>
    <w:rsid w:val="00197241"/>
    <w:rsid w:val="001B1D84"/>
    <w:rsid w:val="001E116F"/>
    <w:rsid w:val="0020133C"/>
    <w:rsid w:val="00211901"/>
    <w:rsid w:val="002277C6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2E7526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96400"/>
    <w:rsid w:val="0042154F"/>
    <w:rsid w:val="00434250"/>
    <w:rsid w:val="004400DF"/>
    <w:rsid w:val="004432F4"/>
    <w:rsid w:val="00445282"/>
    <w:rsid w:val="004811EE"/>
    <w:rsid w:val="00486C94"/>
    <w:rsid w:val="00497FC9"/>
    <w:rsid w:val="004B21B7"/>
    <w:rsid w:val="004C43DD"/>
    <w:rsid w:val="004D71E3"/>
    <w:rsid w:val="004E15D8"/>
    <w:rsid w:val="004E1A92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07D89"/>
    <w:rsid w:val="006110FB"/>
    <w:rsid w:val="006379B8"/>
    <w:rsid w:val="00671F81"/>
    <w:rsid w:val="006758DD"/>
    <w:rsid w:val="0068415E"/>
    <w:rsid w:val="00685DE7"/>
    <w:rsid w:val="006C15FF"/>
    <w:rsid w:val="006C4BFB"/>
    <w:rsid w:val="006D0341"/>
    <w:rsid w:val="006E665A"/>
    <w:rsid w:val="006E77FE"/>
    <w:rsid w:val="00704514"/>
    <w:rsid w:val="007066D7"/>
    <w:rsid w:val="00714524"/>
    <w:rsid w:val="0072093C"/>
    <w:rsid w:val="00733FD9"/>
    <w:rsid w:val="00743B88"/>
    <w:rsid w:val="00750FE8"/>
    <w:rsid w:val="00767D4B"/>
    <w:rsid w:val="00771C1E"/>
    <w:rsid w:val="00773751"/>
    <w:rsid w:val="007B070D"/>
    <w:rsid w:val="007B5013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95A29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A67E0"/>
    <w:rsid w:val="009B68E9"/>
    <w:rsid w:val="009D23EF"/>
    <w:rsid w:val="009E0277"/>
    <w:rsid w:val="00A55061"/>
    <w:rsid w:val="00A60454"/>
    <w:rsid w:val="00A759AA"/>
    <w:rsid w:val="00A82894"/>
    <w:rsid w:val="00A82CAD"/>
    <w:rsid w:val="00AD59BF"/>
    <w:rsid w:val="00AD59D9"/>
    <w:rsid w:val="00AF34B8"/>
    <w:rsid w:val="00B116B5"/>
    <w:rsid w:val="00B363A6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125E"/>
    <w:rsid w:val="00C7489D"/>
    <w:rsid w:val="00C75B33"/>
    <w:rsid w:val="00CB047A"/>
    <w:rsid w:val="00CC68A7"/>
    <w:rsid w:val="00CD798A"/>
    <w:rsid w:val="00CF4FA0"/>
    <w:rsid w:val="00D073BA"/>
    <w:rsid w:val="00D10A2B"/>
    <w:rsid w:val="00D16D85"/>
    <w:rsid w:val="00D2009E"/>
    <w:rsid w:val="00D51965"/>
    <w:rsid w:val="00D816FC"/>
    <w:rsid w:val="00D85587"/>
    <w:rsid w:val="00D87BFF"/>
    <w:rsid w:val="00D932C8"/>
    <w:rsid w:val="00DA16A9"/>
    <w:rsid w:val="00E003ED"/>
    <w:rsid w:val="00E10B47"/>
    <w:rsid w:val="00E27D8B"/>
    <w:rsid w:val="00E30964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52BD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C78AC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22</cp:revision>
  <cp:lastPrinted>2020-12-23T08:00:00Z</cp:lastPrinted>
  <dcterms:created xsi:type="dcterms:W3CDTF">2018-10-29T07:02:00Z</dcterms:created>
  <dcterms:modified xsi:type="dcterms:W3CDTF">2020-12-24T12:50:00Z</dcterms:modified>
</cp:coreProperties>
</file>